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EE498A" w:rsidRPr="002B7950">
        <w:rPr>
          <w:rStyle w:val="Textoennegrita"/>
          <w:rFonts w:ascii="Arial" w:hAnsi="Arial" w:cs="Arial"/>
        </w:rPr>
        <w:t xml:space="preserve">No. 205 DE 2023 </w:t>
      </w:r>
      <w:r w:rsidR="00EE498A" w:rsidRPr="002B7950">
        <w:rPr>
          <w:rFonts w:ascii="Arial" w:hAnsi="Arial" w:cs="Arial"/>
          <w:b/>
          <w:bCs/>
        </w:rPr>
        <w:t>CÁMARA “</w:t>
      </w:r>
      <w:r w:rsidR="00EE498A" w:rsidRPr="002B7950">
        <w:rPr>
          <w:rFonts w:ascii="Arial" w:eastAsia="Bookman Old Style" w:hAnsi="Arial" w:cs="Arial"/>
          <w:b/>
          <w:bCs/>
        </w:rPr>
        <w:t>POR MEDIO DEL CUAL SE ESTABLECEN LINEAMIENTOS PARA LA CREACIÓN E IMPLEMENTACIÓN DE LA POLÍTICA PÚBLICA DE EDUCACIÓN PARA LA SALUD Y LA VIDA (EPSV) Y SE DICTAN OTRAS DISPOSICIONES</w:t>
      </w:r>
      <w:r w:rsidR="00EE498A" w:rsidRPr="002B7950">
        <w:rPr>
          <w:rFonts w:ascii="Arial" w:hAnsi="Arial" w:cs="Arial"/>
          <w:b/>
          <w:bCs/>
        </w:rPr>
        <w:t>”</w:t>
      </w:r>
      <w:r w:rsidR="00EE498A">
        <w:rPr>
          <w:rFonts w:ascii="Arial" w:hAnsi="Arial" w:cs="Arial"/>
          <w:b/>
        </w:rPr>
        <w:t>.</w:t>
      </w:r>
      <w:bookmarkStart w:id="0" w:name="_GoBack"/>
      <w:bookmarkEnd w:id="0"/>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344B4D">
        <w:rPr>
          <w:rFonts w:cs="Arial"/>
        </w:rPr>
        <w:t>20 de febrero de 2024</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344B4D">
        <w:rPr>
          <w:rFonts w:cs="Arial"/>
        </w:rPr>
        <w:t>28</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FC1DEF" w:rsidRPr="00C804AA" w:rsidRDefault="00FC1DEF" w:rsidP="00FC1DEF">
      <w:pPr>
        <w:pStyle w:val="Sinespaciado"/>
        <w:rPr>
          <w:rFonts w:cs="Arial"/>
        </w:rPr>
      </w:pPr>
      <w:r w:rsidRPr="00C804AA">
        <w:rPr>
          <w:rFonts w:cs="Arial"/>
          <w:b/>
        </w:rPr>
        <w:t>Artículo 1°. Objeto:</w:t>
      </w:r>
      <w:r w:rsidRPr="00C804AA">
        <w:rPr>
          <w:rFonts w:cs="Arial"/>
        </w:rPr>
        <w:t xml:space="preserve"> La presente ley tiene por objeto dictar </w:t>
      </w:r>
      <w:r w:rsidRPr="00C804AA">
        <w:rPr>
          <w:rFonts w:cs="Arial"/>
          <w:strike/>
        </w:rPr>
        <w:t>los</w:t>
      </w:r>
      <w:r w:rsidRPr="00C804AA">
        <w:rPr>
          <w:rFonts w:cs="Arial"/>
        </w:rPr>
        <w:t xml:space="preserve"> lineamientos para la creación e implementación de la Política Pública de Educación para la Salud y la Vida (EPSV) y su ejecución por parte del Ministerio de Salud y Protección Social en conjunto con el Ministerio de Educación, con el ánimo de </w:t>
      </w:r>
      <w:r w:rsidRPr="00C804AA">
        <w:rPr>
          <w:rFonts w:eastAsia="Arial Narrow" w:cs="Arial"/>
        </w:rPr>
        <w:t xml:space="preserve">desarrollar estrategias de promoción de la salud y prevención de la enfermedad con niños, niñas, adolescentes y jóvenes escolarizados </w:t>
      </w:r>
      <w:r w:rsidRPr="00C804AA">
        <w:rPr>
          <w:rFonts w:eastAsia="Arial Narrow" w:cs="Arial"/>
          <w:iCs/>
        </w:rPr>
        <w:t>en temas relacionados con determinantes sociales del proceso salud-enfermedad</w:t>
      </w:r>
      <w:r w:rsidRPr="00C804AA">
        <w:rPr>
          <w:rFonts w:eastAsia="Arial Narrow" w:cs="Arial"/>
        </w:rPr>
        <w:t>, para inculcar comportamientos saludables.</w:t>
      </w:r>
    </w:p>
    <w:p w:rsidR="00FC1DEF" w:rsidRPr="00C804AA" w:rsidRDefault="00FC1DEF" w:rsidP="00FC1DEF">
      <w:pPr>
        <w:pStyle w:val="Sinespaciado"/>
        <w:rPr>
          <w:rFonts w:cs="Arial"/>
          <w:b/>
          <w:color w:val="000000"/>
        </w:rPr>
      </w:pPr>
      <w:r w:rsidRPr="00C804AA">
        <w:rPr>
          <w:rFonts w:cs="Arial"/>
          <w:color w:val="000000"/>
        </w:rPr>
        <w:t xml:space="preserve"> </w:t>
      </w:r>
    </w:p>
    <w:p w:rsidR="00FC1DEF" w:rsidRPr="00C804AA" w:rsidRDefault="00FC1DEF" w:rsidP="00FC1DEF">
      <w:pPr>
        <w:pStyle w:val="Sinespaciado"/>
        <w:rPr>
          <w:rFonts w:cs="Arial"/>
        </w:rPr>
      </w:pPr>
      <w:r w:rsidRPr="00C804AA">
        <w:rPr>
          <w:rFonts w:cs="Arial"/>
          <w:b/>
        </w:rPr>
        <w:t>Artículo 2°. Ámbito de aplicación:</w:t>
      </w:r>
      <w:r w:rsidRPr="00C804AA">
        <w:rPr>
          <w:rFonts w:cs="Arial"/>
        </w:rPr>
        <w:t xml:space="preserve"> La presente ley se aplicará en todo el territorio nacional, a través de las secretarías de salud y de educación de las diferentes entidades departamentales, distritales y municipales. </w:t>
      </w:r>
    </w:p>
    <w:p w:rsidR="00FC1DEF" w:rsidRPr="00C804AA" w:rsidRDefault="00FC1DEF" w:rsidP="00FC1DEF">
      <w:pPr>
        <w:pStyle w:val="Sinespaciado"/>
        <w:rPr>
          <w:rFonts w:cs="Arial"/>
        </w:rPr>
      </w:pPr>
      <w:r w:rsidRPr="00C804AA">
        <w:rPr>
          <w:rFonts w:cs="Arial"/>
        </w:rPr>
        <w:t>Dicha ley se implementará con enfoque rural-urbano y de género en el territorio nacional.</w:t>
      </w:r>
    </w:p>
    <w:p w:rsidR="00FC1DEF" w:rsidRPr="00C804AA" w:rsidRDefault="00FC1DEF" w:rsidP="00FC1DEF">
      <w:pPr>
        <w:pStyle w:val="Sinespaciado"/>
        <w:rPr>
          <w:rFonts w:cs="Arial"/>
          <w:b/>
          <w:color w:val="000000"/>
        </w:rPr>
      </w:pPr>
    </w:p>
    <w:p w:rsidR="00FC1DEF" w:rsidRDefault="00FC1DEF" w:rsidP="00FC1DEF">
      <w:pPr>
        <w:pStyle w:val="Sinespaciado"/>
        <w:rPr>
          <w:rFonts w:cs="Arial"/>
        </w:rPr>
      </w:pPr>
      <w:r w:rsidRPr="00C804AA">
        <w:rPr>
          <w:rFonts w:cs="Arial"/>
          <w:b/>
        </w:rPr>
        <w:t xml:space="preserve">Artículo 3. Responsabilidad de la Política Pública de Educación para la Salud y la Vida. </w:t>
      </w:r>
      <w:r w:rsidRPr="00C804AA">
        <w:rPr>
          <w:rFonts w:cs="Arial"/>
        </w:rPr>
        <w:t>El Ministerio de Salud y de la Protección Social en conjunto con el Ministerio de Educación Nacional señalarán los lineamientos y contenidos dirigidos al sistema educativo de conformidad con los análisis de situación de salud (ASIS)</w:t>
      </w:r>
      <w:r w:rsidR="00134E23" w:rsidRPr="00134E23">
        <w:rPr>
          <w:rFonts w:cs="Arial"/>
        </w:rPr>
        <w:t xml:space="preserve"> </w:t>
      </w:r>
      <w:r w:rsidR="00134E23" w:rsidRPr="00C804AA">
        <w:rPr>
          <w:rFonts w:cs="Arial"/>
        </w:rPr>
        <w:t>de cada entidad territorial</w:t>
      </w:r>
      <w:r w:rsidR="00134E23">
        <w:rPr>
          <w:rFonts w:cs="Arial"/>
        </w:rPr>
        <w:t>,</w:t>
      </w:r>
      <w:r w:rsidR="000D4049">
        <w:rPr>
          <w:rFonts w:cs="Arial"/>
        </w:rPr>
        <w:t xml:space="preserve"> en un término no mayor</w:t>
      </w:r>
      <w:r w:rsidR="00751A35">
        <w:rPr>
          <w:rFonts w:cs="Arial"/>
        </w:rPr>
        <w:t xml:space="preserve"> a doce (12) meses contados a partir de la vigencia de la presente ley</w:t>
      </w:r>
      <w:r w:rsidRPr="00C804AA">
        <w:rPr>
          <w:rFonts w:cs="Arial"/>
        </w:rPr>
        <w:t>, con el ánimo de prevenir y reducir la aparición de diferentes enfermedades prevenibles.</w:t>
      </w:r>
    </w:p>
    <w:p w:rsidR="00F66F0B" w:rsidRDefault="00F66F0B" w:rsidP="00FC1DEF">
      <w:pPr>
        <w:pStyle w:val="Sinespaciado"/>
        <w:rPr>
          <w:rFonts w:cs="Arial"/>
        </w:rPr>
      </w:pPr>
    </w:p>
    <w:p w:rsidR="00134E23" w:rsidRPr="00C804AA" w:rsidRDefault="00134E23" w:rsidP="00FC1DEF">
      <w:pPr>
        <w:pStyle w:val="Sinespaciado"/>
        <w:rPr>
          <w:rFonts w:cs="Arial"/>
        </w:rPr>
      </w:pPr>
      <w:r>
        <w:rPr>
          <w:rFonts w:cs="Arial"/>
        </w:rPr>
        <w:t>Dichos lineamientos a su vez deberán ser actualizados de forma periódico con base en los reportes anuales</w:t>
      </w:r>
      <w:r w:rsidR="00F66F0B">
        <w:rPr>
          <w:rFonts w:cs="Arial"/>
        </w:rPr>
        <w:t xml:space="preserve"> del análisis de situación de salud (ASIS)</w:t>
      </w:r>
    </w:p>
    <w:p w:rsidR="000D4049" w:rsidRDefault="000D4049" w:rsidP="00FC1DEF">
      <w:pPr>
        <w:pStyle w:val="Sinespaciado"/>
        <w:rPr>
          <w:rFonts w:cs="Arial"/>
          <w:bCs/>
        </w:rPr>
      </w:pPr>
    </w:p>
    <w:p w:rsidR="00FC1DEF" w:rsidRPr="00C804AA" w:rsidRDefault="00FC1DEF" w:rsidP="00FC1DEF">
      <w:pPr>
        <w:pStyle w:val="Sinespaciado"/>
        <w:rPr>
          <w:rFonts w:cs="Arial"/>
          <w:bCs/>
        </w:rPr>
      </w:pPr>
      <w:r w:rsidRPr="00C804AA">
        <w:rPr>
          <w:rFonts w:cs="Arial"/>
          <w:bCs/>
        </w:rPr>
        <w:t xml:space="preserve">Una vez divulgados estos lineamientos, el Ministerio de Salud y Protección Social y el Ministerio de Educación, deberán adelantar con los Equipos </w:t>
      </w:r>
      <w:r w:rsidRPr="00C804AA">
        <w:rPr>
          <w:rFonts w:eastAsia="Arial Narrow" w:cs="Arial"/>
          <w:bCs/>
        </w:rPr>
        <w:t>Básicos de Salud que operen en el territorio</w:t>
      </w:r>
      <w:r w:rsidRPr="00C804AA">
        <w:rPr>
          <w:rFonts w:cs="Arial"/>
          <w:bCs/>
        </w:rPr>
        <w:t xml:space="preserve"> (EBS) el proceso de capacitación a los maestros como mínimo dos (2) veces al año, sobre </w:t>
      </w:r>
      <w:r w:rsidRPr="00C804AA">
        <w:rPr>
          <w:rFonts w:eastAsia="Arial Narrow" w:cs="Arial"/>
          <w:bCs/>
        </w:rPr>
        <w:t>las estrategias de promoción de la salud y prevención de la enfermedad con niños, niñas, adolescentes y jóvenes</w:t>
      </w:r>
      <w:r w:rsidRPr="00C804AA">
        <w:rPr>
          <w:rFonts w:cs="Arial"/>
          <w:bCs/>
        </w:rPr>
        <w:t>, dentro de la flexibilidad y la malla curricular.</w:t>
      </w:r>
    </w:p>
    <w:p w:rsidR="00FC1DEF" w:rsidRPr="00C804AA" w:rsidRDefault="00FC1DEF" w:rsidP="00FC1DEF">
      <w:pPr>
        <w:pStyle w:val="Sinespaciado"/>
        <w:rPr>
          <w:rFonts w:cs="Arial"/>
          <w:bCs/>
        </w:rPr>
      </w:pPr>
      <w:r w:rsidRPr="00C804AA">
        <w:rPr>
          <w:rFonts w:cs="Arial"/>
          <w:bCs/>
        </w:rPr>
        <w:t xml:space="preserve">Parágrafo: los lineamientos de los que trata el presente artículo deberán hacer énfasis en las enfermedades propias de la edad escolar y grupo </w:t>
      </w:r>
      <w:proofErr w:type="spellStart"/>
      <w:r w:rsidRPr="00C804AA">
        <w:rPr>
          <w:rFonts w:cs="Arial"/>
          <w:bCs/>
        </w:rPr>
        <w:t>etareo</w:t>
      </w:r>
      <w:proofErr w:type="spellEnd"/>
      <w:r w:rsidRPr="00C804AA">
        <w:rPr>
          <w:rFonts w:cs="Arial"/>
          <w:bCs/>
        </w:rPr>
        <w:t>.</w:t>
      </w:r>
    </w:p>
    <w:p w:rsidR="00FC1DEF" w:rsidRDefault="00FC1DEF" w:rsidP="00FC1DEF">
      <w:pPr>
        <w:pStyle w:val="Sinespaciado"/>
        <w:rPr>
          <w:rFonts w:cs="Arial"/>
          <w:b/>
        </w:rPr>
      </w:pPr>
    </w:p>
    <w:p w:rsidR="00FC1DEF" w:rsidRPr="00C804AA" w:rsidRDefault="00FC1DEF" w:rsidP="00FC1DEF">
      <w:pPr>
        <w:pStyle w:val="Sinespaciado"/>
        <w:rPr>
          <w:rFonts w:cs="Arial"/>
          <w:bCs/>
        </w:rPr>
      </w:pPr>
      <w:r w:rsidRPr="00C804AA">
        <w:rPr>
          <w:rFonts w:cs="Arial"/>
          <w:b/>
        </w:rPr>
        <w:t xml:space="preserve">Artículo 4º. </w:t>
      </w:r>
      <w:r w:rsidRPr="00C804AA">
        <w:rPr>
          <w:rFonts w:cs="Arial"/>
        </w:rPr>
        <w:t xml:space="preserve">De la información epidemiológica. Las Secretarías de Salud Departamental, Distrital y Municipal deberán actualizar en los primeros sesenta (60) días de entrada en vigencia de la presente ley, el estudio de los perfiles epidemiológicos de sus territorios discriminados por </w:t>
      </w:r>
      <w:r w:rsidRPr="00C804AA">
        <w:rPr>
          <w:rFonts w:cs="Arial"/>
        </w:rPr>
        <w:lastRenderedPageBreak/>
        <w:t>localidad, comuna zonas rurales y urbanas</w:t>
      </w:r>
      <w:r w:rsidRPr="00C804AA">
        <w:rPr>
          <w:rFonts w:cs="Arial"/>
          <w:b/>
          <w:bCs/>
        </w:rPr>
        <w:t>,</w:t>
      </w:r>
      <w:r w:rsidRPr="00C804AA">
        <w:rPr>
          <w:rFonts w:cs="Arial"/>
        </w:rPr>
        <w:t xml:space="preserve"> indicando como mínimo las primeras 10 causas de morbilidad y mortalidad </w:t>
      </w:r>
      <w:r w:rsidRPr="00C804AA">
        <w:rPr>
          <w:rFonts w:cs="Arial"/>
          <w:bCs/>
        </w:rPr>
        <w:t>de conformidad y con base en los análisis de situación de salud (ASIS).</w:t>
      </w:r>
    </w:p>
    <w:p w:rsidR="00FC1DEF" w:rsidRPr="00C804AA" w:rsidRDefault="00FC1DEF" w:rsidP="00FC1DEF">
      <w:pPr>
        <w:pStyle w:val="Sinespaciado"/>
        <w:rPr>
          <w:rFonts w:cs="Arial"/>
          <w:bCs/>
        </w:rPr>
      </w:pPr>
      <w:r w:rsidRPr="00C804AA">
        <w:rPr>
          <w:rFonts w:cs="Arial"/>
          <w:bCs/>
        </w:rPr>
        <w:t>Los perfiles epidemiológicos deberán actualizarse con una periodicidad anual o de manera automática ante cualquier evento de fuerza mayor o caso fortuito relacionado con la salud de la población objeto de la presente ley.</w:t>
      </w:r>
    </w:p>
    <w:p w:rsidR="00FC1DEF" w:rsidRPr="00C804AA" w:rsidRDefault="00FC1DEF" w:rsidP="00FC1DEF">
      <w:pPr>
        <w:pStyle w:val="Sinespaciado"/>
        <w:rPr>
          <w:rFonts w:cs="Arial"/>
          <w:b/>
          <w:u w:val="single"/>
        </w:rPr>
      </w:pPr>
    </w:p>
    <w:p w:rsidR="00FC1DEF" w:rsidRPr="00C804AA" w:rsidRDefault="00FC1DEF" w:rsidP="00FC1DEF">
      <w:pPr>
        <w:pStyle w:val="Sinespaciado"/>
        <w:rPr>
          <w:rFonts w:eastAsia="Arial Narrow" w:cs="Arial"/>
          <w:bCs/>
        </w:rPr>
      </w:pPr>
      <w:r w:rsidRPr="00C804AA">
        <w:rPr>
          <w:rFonts w:cs="Arial"/>
          <w:b/>
        </w:rPr>
        <w:t xml:space="preserve">Artículo 5°. De los Equipos Básicos de Salud. </w:t>
      </w:r>
      <w:r w:rsidRPr="00C804AA">
        <w:rPr>
          <w:rFonts w:cs="Arial"/>
        </w:rPr>
        <w:t xml:space="preserve">El Ministerio de Salud y Protección Social </w:t>
      </w:r>
      <w:r w:rsidRPr="00C804AA">
        <w:rPr>
          <w:rFonts w:eastAsia="Arial Narrow" w:cs="Arial"/>
          <w:bCs/>
        </w:rPr>
        <w:t>y el Ministerio de Educación Nacional coordinarán con las Entidades Territoriales la capacitación y el desarrollo de estrategias de promoción de la salud y prevención de la enfermedad con las comunidades educativas a través de los</w:t>
      </w:r>
      <w:r w:rsidRPr="00C804AA">
        <w:rPr>
          <w:rFonts w:cs="Arial"/>
          <w:bCs/>
        </w:rPr>
        <w:t xml:space="preserve"> Equipos Básicos de Salud (EBS) </w:t>
      </w:r>
      <w:r w:rsidRPr="00C804AA">
        <w:rPr>
          <w:rFonts w:eastAsia="Arial Narrow" w:cs="Arial"/>
          <w:bCs/>
        </w:rPr>
        <w:t xml:space="preserve">que operen en el territorio con base en las condiciones de salud priorizadas a partir del análisis de situación de salud. </w:t>
      </w:r>
    </w:p>
    <w:p w:rsidR="00F67633" w:rsidRDefault="00F67633" w:rsidP="00FC1DEF">
      <w:pPr>
        <w:pStyle w:val="Sinespaciado"/>
        <w:rPr>
          <w:rFonts w:cs="Arial"/>
          <w:bCs/>
        </w:rPr>
      </w:pPr>
    </w:p>
    <w:p w:rsidR="00FC1DEF" w:rsidRPr="00C804AA" w:rsidRDefault="00FC1DEF" w:rsidP="00FC1DEF">
      <w:pPr>
        <w:pStyle w:val="Sinespaciado"/>
        <w:rPr>
          <w:rFonts w:cs="Arial"/>
          <w:bCs/>
        </w:rPr>
      </w:pPr>
      <w:r w:rsidRPr="00C804AA">
        <w:rPr>
          <w:rFonts w:cs="Arial"/>
          <w:bCs/>
        </w:rPr>
        <w:t xml:space="preserve">Este EBS será multidisciplinario y </w:t>
      </w:r>
      <w:r w:rsidRPr="00C804AA">
        <w:rPr>
          <w:rFonts w:eastAsia="Arial Narrow" w:cs="Arial"/>
          <w:bCs/>
        </w:rPr>
        <w:t xml:space="preserve">para la incorporación de los perfiles responderá a las necesidades del territorio.  </w:t>
      </w:r>
    </w:p>
    <w:p w:rsidR="00F67633" w:rsidRDefault="00F67633" w:rsidP="00FC1DEF">
      <w:pPr>
        <w:pStyle w:val="Sinespaciado"/>
        <w:rPr>
          <w:rFonts w:eastAsia="Arial Narrow" w:cs="Arial"/>
          <w:bCs/>
        </w:rPr>
      </w:pPr>
    </w:p>
    <w:p w:rsidR="00FC1DEF" w:rsidRPr="00C804AA" w:rsidRDefault="00FC1DEF" w:rsidP="00FC1DEF">
      <w:pPr>
        <w:pStyle w:val="Sinespaciado"/>
        <w:rPr>
          <w:rFonts w:eastAsia="Arial Narrow" w:cs="Arial"/>
        </w:rPr>
      </w:pPr>
      <w:r w:rsidRPr="00C804AA">
        <w:rPr>
          <w:rFonts w:eastAsia="Arial Narrow" w:cs="Arial"/>
          <w:bCs/>
        </w:rPr>
        <w:t xml:space="preserve">En la conformación de estos equipos se podrán tener en cuenta </w:t>
      </w:r>
      <w:r w:rsidRPr="00C804AA">
        <w:rPr>
          <w:rFonts w:cs="Arial"/>
          <w:bCs/>
        </w:rPr>
        <w:t>los siguientes</w:t>
      </w:r>
      <w:r w:rsidRPr="00C804AA">
        <w:rPr>
          <w:rFonts w:cs="Arial"/>
        </w:rPr>
        <w:t xml:space="preserve"> profesionales (diez categorías):</w:t>
      </w:r>
    </w:p>
    <w:p w:rsidR="00F67633" w:rsidRDefault="00F67633" w:rsidP="00FC1DEF">
      <w:pPr>
        <w:pStyle w:val="Sinespaciado"/>
        <w:rPr>
          <w:rFonts w:cs="Arial"/>
        </w:rPr>
      </w:pPr>
    </w:p>
    <w:p w:rsidR="00FC1DEF" w:rsidRPr="00C804AA" w:rsidRDefault="00FC1DEF" w:rsidP="00F67633">
      <w:pPr>
        <w:pStyle w:val="Sinespaciado"/>
        <w:numPr>
          <w:ilvl w:val="0"/>
          <w:numId w:val="23"/>
        </w:numPr>
        <w:rPr>
          <w:rFonts w:cs="Arial"/>
        </w:rPr>
      </w:pPr>
      <w:r w:rsidRPr="00C804AA">
        <w:rPr>
          <w:rFonts w:cs="Arial"/>
        </w:rPr>
        <w:t>Médico General</w:t>
      </w:r>
    </w:p>
    <w:p w:rsidR="00FC1DEF" w:rsidRPr="00C804AA" w:rsidRDefault="00FC1DEF" w:rsidP="00F67633">
      <w:pPr>
        <w:pStyle w:val="Sinespaciado"/>
        <w:numPr>
          <w:ilvl w:val="0"/>
          <w:numId w:val="23"/>
        </w:numPr>
        <w:rPr>
          <w:rFonts w:cs="Arial"/>
        </w:rPr>
      </w:pPr>
      <w:r w:rsidRPr="00C804AA">
        <w:rPr>
          <w:rFonts w:cs="Arial"/>
        </w:rPr>
        <w:t>Odontólogo</w:t>
      </w:r>
    </w:p>
    <w:p w:rsidR="00FC1DEF" w:rsidRPr="00C804AA" w:rsidRDefault="00FC1DEF" w:rsidP="00F67633">
      <w:pPr>
        <w:pStyle w:val="Sinespaciado"/>
        <w:numPr>
          <w:ilvl w:val="0"/>
          <w:numId w:val="23"/>
        </w:numPr>
        <w:rPr>
          <w:rFonts w:cs="Arial"/>
        </w:rPr>
      </w:pPr>
      <w:r w:rsidRPr="00C804AA">
        <w:rPr>
          <w:rFonts w:cs="Arial"/>
        </w:rPr>
        <w:t>Higienista Oral</w:t>
      </w:r>
    </w:p>
    <w:p w:rsidR="00FC1DEF" w:rsidRPr="00C804AA" w:rsidRDefault="00FC1DEF" w:rsidP="00F67633">
      <w:pPr>
        <w:pStyle w:val="Sinespaciado"/>
        <w:numPr>
          <w:ilvl w:val="0"/>
          <w:numId w:val="23"/>
        </w:numPr>
        <w:rPr>
          <w:rFonts w:cs="Arial"/>
        </w:rPr>
      </w:pPr>
      <w:r w:rsidRPr="00C804AA">
        <w:rPr>
          <w:rFonts w:cs="Arial"/>
        </w:rPr>
        <w:t>Enfermera Profesional</w:t>
      </w:r>
    </w:p>
    <w:p w:rsidR="00FC1DEF" w:rsidRPr="00C804AA" w:rsidRDefault="00FC1DEF" w:rsidP="00F67633">
      <w:pPr>
        <w:pStyle w:val="Sinespaciado"/>
        <w:numPr>
          <w:ilvl w:val="0"/>
          <w:numId w:val="23"/>
        </w:numPr>
        <w:rPr>
          <w:rFonts w:cs="Arial"/>
        </w:rPr>
      </w:pPr>
      <w:r w:rsidRPr="00C804AA">
        <w:rPr>
          <w:rFonts w:cs="Arial"/>
        </w:rPr>
        <w:t>Sicólogo</w:t>
      </w:r>
    </w:p>
    <w:p w:rsidR="00FC1DEF" w:rsidRPr="00C804AA" w:rsidRDefault="00FC1DEF" w:rsidP="00F67633">
      <w:pPr>
        <w:pStyle w:val="Sinespaciado"/>
        <w:numPr>
          <w:ilvl w:val="0"/>
          <w:numId w:val="23"/>
        </w:numPr>
        <w:rPr>
          <w:rFonts w:cs="Arial"/>
        </w:rPr>
      </w:pPr>
      <w:r w:rsidRPr="00C804AA">
        <w:rPr>
          <w:rFonts w:cs="Arial"/>
        </w:rPr>
        <w:t>Trabajador Social</w:t>
      </w:r>
    </w:p>
    <w:p w:rsidR="00FC1DEF" w:rsidRPr="00C804AA" w:rsidRDefault="00FC1DEF" w:rsidP="00F67633">
      <w:pPr>
        <w:pStyle w:val="Sinespaciado"/>
        <w:numPr>
          <w:ilvl w:val="0"/>
          <w:numId w:val="23"/>
        </w:numPr>
        <w:rPr>
          <w:rFonts w:cs="Arial"/>
        </w:rPr>
      </w:pPr>
      <w:r w:rsidRPr="00C804AA">
        <w:rPr>
          <w:rFonts w:cs="Arial"/>
        </w:rPr>
        <w:t>Nutricionista</w:t>
      </w:r>
    </w:p>
    <w:p w:rsidR="00FC1DEF" w:rsidRPr="00C804AA" w:rsidRDefault="00FC1DEF" w:rsidP="00F67633">
      <w:pPr>
        <w:pStyle w:val="Sinespaciado"/>
        <w:numPr>
          <w:ilvl w:val="0"/>
          <w:numId w:val="23"/>
        </w:numPr>
        <w:rPr>
          <w:rFonts w:cs="Arial"/>
        </w:rPr>
      </w:pPr>
      <w:r w:rsidRPr="00C804AA">
        <w:rPr>
          <w:rFonts w:cs="Arial"/>
        </w:rPr>
        <w:t>Deportólogo</w:t>
      </w:r>
    </w:p>
    <w:p w:rsidR="00FC1DEF" w:rsidRPr="00C804AA" w:rsidRDefault="00FC1DEF" w:rsidP="00F67633">
      <w:pPr>
        <w:pStyle w:val="Sinespaciado"/>
        <w:numPr>
          <w:ilvl w:val="0"/>
          <w:numId w:val="23"/>
        </w:numPr>
        <w:rPr>
          <w:rFonts w:cs="Arial"/>
        </w:rPr>
      </w:pPr>
      <w:r w:rsidRPr="00C804AA">
        <w:rPr>
          <w:rFonts w:cs="Arial"/>
        </w:rPr>
        <w:t>Pedagogo.</w:t>
      </w:r>
    </w:p>
    <w:p w:rsidR="00FC1DEF" w:rsidRPr="00C804AA" w:rsidRDefault="00FC1DEF" w:rsidP="00F67633">
      <w:pPr>
        <w:pStyle w:val="Sinespaciado"/>
        <w:numPr>
          <w:ilvl w:val="0"/>
          <w:numId w:val="23"/>
        </w:numPr>
        <w:rPr>
          <w:rFonts w:cs="Arial"/>
        </w:rPr>
      </w:pPr>
      <w:r w:rsidRPr="00C804AA">
        <w:rPr>
          <w:rFonts w:cs="Arial"/>
        </w:rPr>
        <w:t>Didactólogo</w:t>
      </w:r>
    </w:p>
    <w:p w:rsidR="00FC1DEF" w:rsidRPr="00C804AA" w:rsidRDefault="00FC1DEF" w:rsidP="00FC1DEF">
      <w:pPr>
        <w:pStyle w:val="Sinespaciado"/>
        <w:rPr>
          <w:rFonts w:cs="Arial"/>
          <w:b/>
        </w:rPr>
      </w:pPr>
    </w:p>
    <w:p w:rsidR="00FC1DEF" w:rsidRPr="00C804AA" w:rsidRDefault="00FC1DEF" w:rsidP="00FC1DEF">
      <w:pPr>
        <w:pStyle w:val="Sinespaciado"/>
        <w:rPr>
          <w:rFonts w:cs="Arial"/>
        </w:rPr>
      </w:pPr>
      <w:r w:rsidRPr="00C804AA">
        <w:rPr>
          <w:rFonts w:cs="Arial"/>
          <w:b/>
        </w:rPr>
        <w:t xml:space="preserve">Parágrafo 1. </w:t>
      </w:r>
      <w:r w:rsidRPr="00C804AA">
        <w:rPr>
          <w:rFonts w:cs="Arial"/>
        </w:rPr>
        <w:t>El Ministerio de Salud y Protección Social</w:t>
      </w:r>
      <w:r w:rsidRPr="00C804AA">
        <w:rPr>
          <w:rFonts w:cs="Arial"/>
          <w:b/>
          <w:u w:val="single"/>
        </w:rPr>
        <w:t xml:space="preserve"> </w:t>
      </w:r>
      <w:r w:rsidRPr="00C804AA">
        <w:rPr>
          <w:rFonts w:eastAsia="Arial Narrow" w:cs="Arial"/>
          <w:bCs/>
        </w:rPr>
        <w:t>y el Ministerio de Educación Nacional</w:t>
      </w:r>
      <w:r w:rsidRPr="00C804AA">
        <w:rPr>
          <w:rFonts w:cs="Arial"/>
          <w:bCs/>
        </w:rPr>
        <w:t>,</w:t>
      </w:r>
      <w:r w:rsidRPr="00C804AA">
        <w:rPr>
          <w:rFonts w:cs="Arial"/>
        </w:rPr>
        <w:t xml:space="preserve"> adelantará el estudio pertinente, para determinar el número de equipos necesarios para lo establecido en el presente artículo.</w:t>
      </w:r>
    </w:p>
    <w:p w:rsidR="00FC1DEF" w:rsidRDefault="00FC1DEF" w:rsidP="00FC1DEF">
      <w:pPr>
        <w:pStyle w:val="Sinespaciado"/>
        <w:rPr>
          <w:rFonts w:cs="Arial"/>
          <w:b/>
        </w:rPr>
      </w:pPr>
    </w:p>
    <w:p w:rsidR="00FC1DEF" w:rsidRPr="00C804AA" w:rsidRDefault="00FC1DEF" w:rsidP="00FC1DEF">
      <w:pPr>
        <w:pStyle w:val="Sinespaciado"/>
        <w:rPr>
          <w:rFonts w:cs="Arial"/>
          <w:b/>
        </w:rPr>
      </w:pPr>
      <w:r w:rsidRPr="00C804AA">
        <w:rPr>
          <w:rFonts w:cs="Arial"/>
          <w:b/>
        </w:rPr>
        <w:t>Parágrafo 2.</w:t>
      </w:r>
      <w:r w:rsidRPr="00C804AA">
        <w:rPr>
          <w:rFonts w:cs="Arial"/>
          <w:b/>
          <w:u w:val="single"/>
        </w:rPr>
        <w:t xml:space="preserve"> </w:t>
      </w:r>
      <w:r w:rsidRPr="00C804AA">
        <w:rPr>
          <w:rFonts w:cs="Arial"/>
        </w:rPr>
        <w:t>Adicionalmente los Equipos de Básicos de Salud (EBS) crearán una estrategia de capacitación anual a los padres de familia sobre prevención de las enfermedades</w:t>
      </w:r>
    </w:p>
    <w:p w:rsidR="00FC1DEF" w:rsidRDefault="00FC1DEF" w:rsidP="00FC1DEF">
      <w:pPr>
        <w:pStyle w:val="Sinespaciado"/>
        <w:rPr>
          <w:rFonts w:cs="Arial"/>
          <w:b/>
        </w:rPr>
      </w:pPr>
    </w:p>
    <w:p w:rsidR="00FC1DEF" w:rsidRPr="00C804AA" w:rsidRDefault="00FC1DEF" w:rsidP="00FC1DEF">
      <w:pPr>
        <w:pStyle w:val="Sinespaciado"/>
        <w:rPr>
          <w:rFonts w:cs="Arial"/>
        </w:rPr>
      </w:pPr>
      <w:r w:rsidRPr="00C804AA">
        <w:rPr>
          <w:rFonts w:cs="Arial"/>
          <w:b/>
        </w:rPr>
        <w:t xml:space="preserve">Artículo 6°. </w:t>
      </w:r>
      <w:r w:rsidRPr="00C804AA">
        <w:rPr>
          <w:rFonts w:cs="Arial"/>
        </w:rPr>
        <w:t xml:space="preserve">El Ministerio de Educación </w:t>
      </w:r>
      <w:r w:rsidR="005970FF">
        <w:rPr>
          <w:rFonts w:cs="Arial"/>
        </w:rPr>
        <w:t xml:space="preserve">Nacional </w:t>
      </w:r>
      <w:r w:rsidRPr="00C804AA">
        <w:rPr>
          <w:rFonts w:cs="Arial"/>
        </w:rPr>
        <w:t>en conjunto con el Ministerio de Salud y de la Protección Social creará una aplicación digital para educadores y estudiantes con el ánimo de que consulten sobre el autocuidado en la prevención de enfermedades.</w:t>
      </w:r>
    </w:p>
    <w:p w:rsidR="00703BB5" w:rsidRDefault="00703BB5" w:rsidP="00FC1DEF">
      <w:pPr>
        <w:pStyle w:val="Sinespaciado"/>
        <w:rPr>
          <w:rFonts w:cs="Arial"/>
        </w:rPr>
      </w:pPr>
    </w:p>
    <w:p w:rsidR="00FC1DEF" w:rsidRDefault="00FC1DEF" w:rsidP="00FC1DEF">
      <w:pPr>
        <w:pStyle w:val="Sinespaciado"/>
        <w:rPr>
          <w:rFonts w:cs="Arial"/>
        </w:rPr>
      </w:pPr>
      <w:r w:rsidRPr="00C804AA">
        <w:rPr>
          <w:rFonts w:cs="Arial"/>
        </w:rPr>
        <w:t>El Ministerio de Tecnologías de la Información y las Comunicaciones implementará el Plan nacional de conectividad Rural, contemplado en el acuerdo de paz, para garantizar acceso de la población rural y campesina a la aplicación digital para educadores y estudiantes</w:t>
      </w:r>
      <w:r w:rsidR="00703BB5">
        <w:rPr>
          <w:rFonts w:cs="Arial"/>
        </w:rPr>
        <w:t xml:space="preserve"> de conformidad con el Plan Nacional de Desarrollo</w:t>
      </w:r>
      <w:r w:rsidRPr="00C804AA">
        <w:rPr>
          <w:rFonts w:cs="Arial"/>
        </w:rPr>
        <w:t>.</w:t>
      </w:r>
    </w:p>
    <w:p w:rsidR="00004D26" w:rsidRDefault="00004D26" w:rsidP="00FC1DEF">
      <w:pPr>
        <w:pStyle w:val="Sinespaciado"/>
        <w:rPr>
          <w:rFonts w:cs="Arial"/>
        </w:rPr>
      </w:pPr>
    </w:p>
    <w:p w:rsidR="00004D26" w:rsidRDefault="00004D26" w:rsidP="00FC1DEF">
      <w:pPr>
        <w:pStyle w:val="Sinespaciado"/>
        <w:rPr>
          <w:rFonts w:cs="Arial"/>
        </w:rPr>
      </w:pPr>
      <w:r>
        <w:rPr>
          <w:rFonts w:cs="Arial"/>
        </w:rPr>
        <w:t>Esta aplicación deberá dar cumplimiento a la política de gobierno digital del Estado colombiano. El Ministerio de Tecnologías de la Información</w:t>
      </w:r>
      <w:r w:rsidR="006D531F">
        <w:rPr>
          <w:rFonts w:cs="Arial"/>
        </w:rPr>
        <w:t xml:space="preserve"> y las Comunicaciones, en el marco de sus competencias, podrá brindar apoyo técnico para los </w:t>
      </w:r>
      <w:r w:rsidR="00F25E2F">
        <w:rPr>
          <w:rFonts w:cs="Arial"/>
        </w:rPr>
        <w:t>fines del presente artí</w:t>
      </w:r>
      <w:r w:rsidR="006D531F">
        <w:rPr>
          <w:rFonts w:cs="Arial"/>
        </w:rPr>
        <w:t>culo</w:t>
      </w:r>
      <w:r w:rsidR="00F25E2F">
        <w:rPr>
          <w:rFonts w:cs="Arial"/>
        </w:rPr>
        <w:t>.</w:t>
      </w:r>
    </w:p>
    <w:p w:rsidR="007D3C92" w:rsidRDefault="007D3C92" w:rsidP="00FC1DEF">
      <w:pPr>
        <w:pStyle w:val="Sinespaciado"/>
        <w:rPr>
          <w:rFonts w:cs="Arial"/>
        </w:rPr>
      </w:pPr>
    </w:p>
    <w:p w:rsidR="00FC1DEF" w:rsidRPr="00C804AA" w:rsidRDefault="00FC1DEF" w:rsidP="00FC1DEF">
      <w:pPr>
        <w:pStyle w:val="Sinespaciado"/>
        <w:rPr>
          <w:rFonts w:cs="Arial"/>
          <w:color w:val="000000"/>
        </w:rPr>
      </w:pPr>
      <w:r w:rsidRPr="00C804AA">
        <w:rPr>
          <w:rFonts w:cs="Arial"/>
          <w:b/>
          <w:color w:val="000000"/>
        </w:rPr>
        <w:lastRenderedPageBreak/>
        <w:t xml:space="preserve">Artículo 7°. </w:t>
      </w:r>
      <w:r w:rsidRPr="00C804AA">
        <w:rPr>
          <w:rFonts w:cs="Arial"/>
          <w:color w:val="000000"/>
        </w:rPr>
        <w:t>Las instituciones educativas dentro del marco de su autonomía ajustarán sus Proyectos Educativos Institucionales con el ánimo de incluir la Política Pública de Educación para la Salud y la Vida (EPSV).</w:t>
      </w:r>
    </w:p>
    <w:p w:rsidR="00FC1DEF" w:rsidRPr="00C804AA" w:rsidRDefault="00FC1DEF" w:rsidP="00FC1DEF">
      <w:pPr>
        <w:pStyle w:val="Sinespaciado"/>
        <w:rPr>
          <w:rFonts w:cs="Arial"/>
          <w:color w:val="000000"/>
        </w:rPr>
      </w:pPr>
    </w:p>
    <w:p w:rsidR="00FC1DEF" w:rsidRDefault="00FC1DEF" w:rsidP="00FC1DEF">
      <w:pPr>
        <w:pStyle w:val="Sinespaciado"/>
        <w:rPr>
          <w:rFonts w:cs="Arial"/>
          <w:color w:val="000000"/>
        </w:rPr>
      </w:pPr>
      <w:r w:rsidRPr="00C804AA">
        <w:rPr>
          <w:rFonts w:cs="Arial"/>
          <w:b/>
          <w:color w:val="000000"/>
        </w:rPr>
        <w:t>Artículo 8º Vigencia.</w:t>
      </w:r>
      <w:r w:rsidRPr="00C804AA">
        <w:rPr>
          <w:rFonts w:cs="Arial"/>
          <w:color w:val="000000"/>
        </w:rPr>
        <w:t xml:space="preserve"> Esta ley empezará a regir a partir de su promulgación y deroga todas las dispos</w:t>
      </w:r>
      <w:r w:rsidR="00F718B4">
        <w:rPr>
          <w:rFonts w:cs="Arial"/>
          <w:color w:val="000000"/>
        </w:rPr>
        <w:t>iciones que le sean contrarias</w:t>
      </w: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F718B4" w:rsidRDefault="00F718B4" w:rsidP="00FC1DEF">
      <w:pPr>
        <w:pStyle w:val="Sinespaciado"/>
        <w:rPr>
          <w:rFonts w:cs="Arial"/>
          <w:color w:val="000000"/>
        </w:rPr>
      </w:pPr>
    </w:p>
    <w:p w:rsidR="00F718B4" w:rsidRPr="00F718B4" w:rsidRDefault="00C25E24" w:rsidP="00FC1DEF">
      <w:pPr>
        <w:pStyle w:val="Sinespaciado"/>
        <w:rPr>
          <w:rFonts w:cs="Arial"/>
          <w:color w:val="000000"/>
        </w:rPr>
      </w:pPr>
      <w:r w:rsidRPr="00F718B4">
        <w:rPr>
          <w:rFonts w:eastAsia="Arial" w:cs="Arial"/>
          <w:b/>
        </w:rPr>
        <w:t>Víctor Manuel Salcedo Guerrero</w:t>
      </w:r>
      <w:r w:rsidRPr="00F718B4">
        <w:rPr>
          <w:rFonts w:eastAsia="Arial" w:cs="Arial"/>
          <w:b/>
        </w:rPr>
        <w:tab/>
      </w:r>
      <w:r w:rsidRPr="00F718B4">
        <w:rPr>
          <w:rFonts w:eastAsia="Arial" w:cs="Arial"/>
          <w:b/>
        </w:rPr>
        <w:tab/>
      </w:r>
      <w:r>
        <w:rPr>
          <w:rFonts w:eastAsia="Arial" w:cs="Arial"/>
          <w:b/>
        </w:rPr>
        <w:tab/>
      </w:r>
      <w:r w:rsidR="00545AF9">
        <w:rPr>
          <w:rFonts w:eastAsia="Arial" w:cs="Arial"/>
          <w:b/>
        </w:rPr>
        <w:tab/>
      </w:r>
      <w:r w:rsidRPr="00F718B4">
        <w:rPr>
          <w:rFonts w:eastAsia="Arial" w:cs="Arial"/>
          <w:b/>
        </w:rPr>
        <w:t>Gerardo Yepes Caro</w:t>
      </w:r>
    </w:p>
    <w:p w:rsidR="006E594C" w:rsidRPr="00A260C7" w:rsidRDefault="00A260C7" w:rsidP="00D410FE">
      <w:pPr>
        <w:pStyle w:val="Sinespaciado"/>
        <w:spacing w:line="240" w:lineRule="atLeast"/>
        <w:rPr>
          <w:rFonts w:cs="Arial"/>
        </w:rPr>
      </w:pPr>
      <w:r>
        <w:rPr>
          <w:rFonts w:cs="Arial"/>
        </w:rPr>
        <w:t>Representante a la Cámara</w:t>
      </w:r>
      <w:r w:rsidR="006A6E00">
        <w:rPr>
          <w:rFonts w:cs="Arial"/>
        </w:rPr>
        <w:tab/>
      </w:r>
      <w:r w:rsidR="006A6E00">
        <w:rPr>
          <w:rFonts w:cs="Arial"/>
        </w:rPr>
        <w:tab/>
      </w:r>
      <w:r w:rsidR="006A6E00">
        <w:rPr>
          <w:rFonts w:cs="Arial"/>
        </w:rPr>
        <w:tab/>
      </w:r>
      <w:r w:rsidR="006A6E00">
        <w:rPr>
          <w:rFonts w:cs="Arial"/>
        </w:rPr>
        <w:tab/>
      </w:r>
      <w:r w:rsidR="00545AF9">
        <w:rPr>
          <w:rFonts w:cs="Arial"/>
        </w:rPr>
        <w:tab/>
      </w:r>
      <w:r w:rsidR="006A6E00">
        <w:rPr>
          <w:rFonts w:cs="Arial"/>
        </w:rPr>
        <w:t>Representante a la Cámara</w:t>
      </w: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767847" w:rsidRDefault="00767847" w:rsidP="00D410FE">
      <w:pPr>
        <w:pStyle w:val="Sinespaciado"/>
        <w:spacing w:line="240" w:lineRule="atLeast"/>
        <w:rPr>
          <w:rFonts w:cs="Arial"/>
          <w:b/>
        </w:rPr>
      </w:pPr>
    </w:p>
    <w:p w:rsidR="006E594C" w:rsidRDefault="00C25E24" w:rsidP="00D410FE">
      <w:pPr>
        <w:pStyle w:val="Sinespaciado"/>
        <w:spacing w:line="240" w:lineRule="atLeast"/>
        <w:rPr>
          <w:rFonts w:cs="Arial"/>
          <w:b/>
        </w:rPr>
      </w:pPr>
      <w:r>
        <w:rPr>
          <w:rFonts w:cs="Arial"/>
          <w:b/>
        </w:rPr>
        <w:t>Juan Camilo Londoño Barrera</w:t>
      </w:r>
      <w:r>
        <w:rPr>
          <w:rFonts w:cs="Arial"/>
          <w:b/>
        </w:rPr>
        <w:tab/>
      </w:r>
      <w:r>
        <w:rPr>
          <w:rFonts w:cs="Arial"/>
          <w:b/>
        </w:rPr>
        <w:tab/>
      </w:r>
      <w:r>
        <w:rPr>
          <w:rFonts w:cs="Arial"/>
          <w:b/>
        </w:rPr>
        <w:tab/>
      </w:r>
      <w:r w:rsidR="00545AF9">
        <w:rPr>
          <w:rFonts w:cs="Arial"/>
          <w:b/>
        </w:rPr>
        <w:tab/>
      </w:r>
      <w:r>
        <w:rPr>
          <w:rFonts w:cs="Arial"/>
          <w:b/>
        </w:rPr>
        <w:t>Alfredo Mondragón Garzón</w:t>
      </w:r>
    </w:p>
    <w:p w:rsidR="00C25E24" w:rsidRDefault="006A6E00" w:rsidP="00D410FE">
      <w:pPr>
        <w:pStyle w:val="Sinespaciado"/>
        <w:spacing w:line="240" w:lineRule="atLeast"/>
        <w:rPr>
          <w:rFonts w:cs="Arial"/>
          <w:b/>
        </w:rPr>
      </w:pPr>
      <w:r>
        <w:rPr>
          <w:rFonts w:cs="Arial"/>
        </w:rPr>
        <w:t>Representante a la Cámara</w:t>
      </w:r>
      <w:r>
        <w:rPr>
          <w:rFonts w:cs="Arial"/>
        </w:rPr>
        <w:tab/>
      </w:r>
      <w:r>
        <w:rPr>
          <w:rFonts w:cs="Arial"/>
        </w:rPr>
        <w:tab/>
      </w:r>
      <w:r>
        <w:rPr>
          <w:rFonts w:cs="Arial"/>
        </w:rPr>
        <w:tab/>
      </w:r>
      <w:r>
        <w:rPr>
          <w:rFonts w:cs="Arial"/>
        </w:rPr>
        <w:tab/>
      </w:r>
      <w:r w:rsidR="00545AF9">
        <w:rPr>
          <w:rFonts w:cs="Arial"/>
        </w:rPr>
        <w:tab/>
      </w:r>
      <w:r>
        <w:rPr>
          <w:rFonts w:cs="Arial"/>
        </w:rPr>
        <w:t>Representante a la Cámara</w:t>
      </w:r>
    </w:p>
    <w:p w:rsidR="00C25E24" w:rsidRDefault="00C25E24"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C25E24" w:rsidRDefault="00C25E24"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4D631D" w:rsidRDefault="004D631D" w:rsidP="004D631D">
      <w:pPr>
        <w:pStyle w:val="Sinespaciado"/>
        <w:spacing w:line="240" w:lineRule="atLeast"/>
        <w:rPr>
          <w:rFonts w:eastAsia="Arial" w:cs="Arial"/>
          <w:b/>
          <w:color w:val="000000"/>
        </w:rPr>
      </w:pPr>
      <w:r>
        <w:rPr>
          <w:rFonts w:eastAsia="Arial" w:cs="Arial"/>
          <w:b/>
          <w:color w:val="000000"/>
        </w:rPr>
        <w:t>Germán Rogelio Rozo Anís</w:t>
      </w:r>
      <w:r>
        <w:rPr>
          <w:rFonts w:eastAsia="Arial" w:cs="Arial"/>
          <w:b/>
          <w:color w:val="000000"/>
        </w:rPr>
        <w:tab/>
      </w:r>
      <w:r>
        <w:rPr>
          <w:rFonts w:eastAsia="Arial" w:cs="Arial"/>
          <w:b/>
          <w:color w:val="000000"/>
        </w:rPr>
        <w:tab/>
      </w:r>
      <w:r>
        <w:rPr>
          <w:rFonts w:eastAsia="Arial" w:cs="Arial"/>
          <w:b/>
          <w:color w:val="000000"/>
        </w:rPr>
        <w:tab/>
      </w:r>
      <w:r>
        <w:rPr>
          <w:rFonts w:eastAsia="Arial" w:cs="Arial"/>
          <w:b/>
          <w:color w:val="000000"/>
        </w:rPr>
        <w:tab/>
      </w:r>
      <w:r w:rsidR="00545AF9">
        <w:rPr>
          <w:rFonts w:eastAsia="Arial" w:cs="Arial"/>
          <w:b/>
          <w:color w:val="000000"/>
        </w:rPr>
        <w:tab/>
      </w:r>
      <w:r>
        <w:rPr>
          <w:rFonts w:eastAsia="Arial" w:cs="Arial"/>
          <w:b/>
          <w:color w:val="000000"/>
        </w:rPr>
        <w:t>Andrés Eduardo Forero Molina</w:t>
      </w:r>
    </w:p>
    <w:p w:rsidR="004D631D" w:rsidRDefault="006A6E00" w:rsidP="004D631D">
      <w:pPr>
        <w:pStyle w:val="Sinespaciado"/>
        <w:spacing w:line="240" w:lineRule="atLeast"/>
        <w:rPr>
          <w:rFonts w:eastAsia="Arial" w:cs="Arial"/>
          <w:b/>
          <w:color w:val="000000"/>
        </w:rPr>
      </w:pPr>
      <w:r>
        <w:rPr>
          <w:rFonts w:cs="Arial"/>
        </w:rPr>
        <w:t>Representante a la Cámara</w:t>
      </w:r>
      <w:r>
        <w:rPr>
          <w:rFonts w:cs="Arial"/>
        </w:rPr>
        <w:tab/>
      </w:r>
      <w:r>
        <w:rPr>
          <w:rFonts w:cs="Arial"/>
        </w:rPr>
        <w:tab/>
      </w:r>
      <w:r>
        <w:rPr>
          <w:rFonts w:cs="Arial"/>
        </w:rPr>
        <w:tab/>
      </w:r>
      <w:r>
        <w:rPr>
          <w:rFonts w:cs="Arial"/>
        </w:rPr>
        <w:tab/>
      </w:r>
      <w:r w:rsidR="00545AF9">
        <w:rPr>
          <w:rFonts w:cs="Arial"/>
        </w:rPr>
        <w:tab/>
      </w:r>
      <w:r>
        <w:rPr>
          <w:rFonts w:cs="Arial"/>
        </w:rPr>
        <w:t>Representante a la Cámara</w:t>
      </w:r>
    </w:p>
    <w:p w:rsidR="004D631D" w:rsidRDefault="004D631D" w:rsidP="004D631D">
      <w:pPr>
        <w:pStyle w:val="Sinespaciado"/>
        <w:spacing w:line="240" w:lineRule="atLeast"/>
        <w:rPr>
          <w:rFonts w:eastAsia="Arial" w:cs="Arial"/>
          <w:b/>
          <w:color w:val="000000"/>
        </w:rPr>
      </w:pPr>
    </w:p>
    <w:p w:rsidR="004D631D" w:rsidRDefault="004D631D" w:rsidP="004D631D">
      <w:pPr>
        <w:pStyle w:val="Sinespaciado"/>
        <w:spacing w:line="240" w:lineRule="atLeast"/>
        <w:rPr>
          <w:rFonts w:eastAsia="Arial" w:cs="Arial"/>
          <w:b/>
          <w:color w:val="000000"/>
        </w:rPr>
      </w:pPr>
    </w:p>
    <w:p w:rsidR="006A6E00" w:rsidRDefault="006A6E00" w:rsidP="004D631D">
      <w:pPr>
        <w:pStyle w:val="Sinespaciado"/>
        <w:spacing w:line="240" w:lineRule="atLeast"/>
        <w:rPr>
          <w:rFonts w:eastAsia="Arial" w:cs="Arial"/>
          <w:b/>
          <w:color w:val="000000"/>
        </w:rPr>
      </w:pPr>
    </w:p>
    <w:p w:rsidR="004D631D" w:rsidRDefault="004D631D" w:rsidP="004D631D">
      <w:pPr>
        <w:pStyle w:val="Sinespaciado"/>
        <w:spacing w:line="240" w:lineRule="atLeast"/>
        <w:rPr>
          <w:rFonts w:eastAsia="Arial" w:cs="Arial"/>
          <w:b/>
          <w:color w:val="000000"/>
        </w:rPr>
      </w:pPr>
    </w:p>
    <w:p w:rsidR="00A260C7" w:rsidRDefault="004D631D" w:rsidP="004D631D">
      <w:pPr>
        <w:pStyle w:val="Sinespaciado"/>
        <w:spacing w:line="240" w:lineRule="atLeast"/>
        <w:rPr>
          <w:rFonts w:eastAsia="Arial" w:cs="Arial"/>
          <w:b/>
          <w:color w:val="000000"/>
        </w:rPr>
      </w:pPr>
      <w:r>
        <w:rPr>
          <w:rFonts w:eastAsia="Arial" w:cs="Arial"/>
          <w:b/>
          <w:color w:val="000000"/>
        </w:rPr>
        <w:t>Germán José Gómez López</w:t>
      </w:r>
      <w:r>
        <w:rPr>
          <w:rFonts w:eastAsia="Arial" w:cs="Arial"/>
          <w:b/>
          <w:color w:val="000000"/>
        </w:rPr>
        <w:tab/>
      </w:r>
      <w:r>
        <w:rPr>
          <w:rFonts w:eastAsia="Arial" w:cs="Arial"/>
          <w:b/>
          <w:color w:val="000000"/>
        </w:rPr>
        <w:tab/>
      </w:r>
      <w:r>
        <w:rPr>
          <w:rFonts w:eastAsia="Arial" w:cs="Arial"/>
          <w:b/>
          <w:color w:val="000000"/>
        </w:rPr>
        <w:tab/>
      </w:r>
      <w:r w:rsidR="00545AF9">
        <w:rPr>
          <w:rFonts w:eastAsia="Arial" w:cs="Arial"/>
          <w:b/>
          <w:color w:val="000000"/>
        </w:rPr>
        <w:tab/>
      </w:r>
      <w:r w:rsidR="00A260C7">
        <w:rPr>
          <w:rFonts w:eastAsia="Arial" w:cs="Arial"/>
          <w:b/>
          <w:color w:val="000000"/>
        </w:rPr>
        <w:t>Juan Carlos Vargas Soler</w:t>
      </w:r>
    </w:p>
    <w:p w:rsidR="00A260C7" w:rsidRDefault="006A6E00" w:rsidP="004D631D">
      <w:pPr>
        <w:pStyle w:val="Sinespaciado"/>
        <w:spacing w:line="240" w:lineRule="atLeast"/>
        <w:rPr>
          <w:rFonts w:eastAsia="Arial" w:cs="Arial"/>
          <w:b/>
          <w:color w:val="000000"/>
        </w:rPr>
      </w:pPr>
      <w:r>
        <w:rPr>
          <w:rFonts w:cs="Arial"/>
        </w:rPr>
        <w:t>Representante a la Cámara</w:t>
      </w:r>
      <w:r>
        <w:rPr>
          <w:rFonts w:cs="Arial"/>
        </w:rPr>
        <w:tab/>
      </w:r>
      <w:r>
        <w:rPr>
          <w:rFonts w:cs="Arial"/>
        </w:rPr>
        <w:tab/>
      </w:r>
      <w:r>
        <w:rPr>
          <w:rFonts w:cs="Arial"/>
        </w:rPr>
        <w:tab/>
      </w:r>
      <w:r>
        <w:rPr>
          <w:rFonts w:cs="Arial"/>
        </w:rPr>
        <w:tab/>
      </w:r>
      <w:r w:rsidR="00545AF9">
        <w:rPr>
          <w:rFonts w:cs="Arial"/>
        </w:rPr>
        <w:tab/>
      </w:r>
      <w:r>
        <w:rPr>
          <w:rFonts w:cs="Arial"/>
        </w:rPr>
        <w:t>Representante a la Cámara</w:t>
      </w:r>
    </w:p>
    <w:p w:rsidR="00A260C7" w:rsidRDefault="00A260C7" w:rsidP="004D631D">
      <w:pPr>
        <w:pStyle w:val="Sinespaciado"/>
        <w:spacing w:line="240" w:lineRule="atLeast"/>
        <w:rPr>
          <w:rFonts w:eastAsia="Arial" w:cs="Arial"/>
          <w:b/>
          <w:color w:val="000000"/>
        </w:rPr>
      </w:pPr>
    </w:p>
    <w:p w:rsidR="00A260C7" w:rsidRDefault="00A260C7" w:rsidP="004D631D">
      <w:pPr>
        <w:pStyle w:val="Sinespaciado"/>
        <w:spacing w:line="240" w:lineRule="atLeast"/>
        <w:rPr>
          <w:rFonts w:eastAsia="Arial" w:cs="Arial"/>
          <w:b/>
          <w:color w:val="000000"/>
        </w:rPr>
      </w:pPr>
    </w:p>
    <w:p w:rsidR="006A6E00" w:rsidRDefault="006A6E00" w:rsidP="004D631D">
      <w:pPr>
        <w:pStyle w:val="Sinespaciado"/>
        <w:spacing w:line="240" w:lineRule="atLeast"/>
        <w:rPr>
          <w:rFonts w:eastAsia="Arial" w:cs="Arial"/>
          <w:b/>
          <w:color w:val="000000"/>
        </w:rPr>
      </w:pPr>
    </w:p>
    <w:p w:rsidR="00A260C7" w:rsidRDefault="00A260C7" w:rsidP="004D631D">
      <w:pPr>
        <w:pStyle w:val="Sinespaciado"/>
        <w:spacing w:line="240" w:lineRule="atLeast"/>
        <w:rPr>
          <w:rFonts w:eastAsia="Arial" w:cs="Arial"/>
          <w:b/>
          <w:color w:val="000000"/>
        </w:rPr>
      </w:pPr>
    </w:p>
    <w:p w:rsidR="00DC1FF5" w:rsidRDefault="00A260C7" w:rsidP="00A260C7">
      <w:pPr>
        <w:pStyle w:val="Sinespaciado"/>
        <w:spacing w:line="240" w:lineRule="atLeast"/>
        <w:rPr>
          <w:rFonts w:eastAsia="Arial" w:cs="Arial"/>
          <w:b/>
          <w:color w:val="000000"/>
        </w:rPr>
      </w:pPr>
      <w:r>
        <w:rPr>
          <w:rFonts w:eastAsia="Arial" w:cs="Arial"/>
          <w:b/>
          <w:color w:val="000000"/>
        </w:rPr>
        <w:t>Jairo Humberto Cristo Correa</w:t>
      </w:r>
    </w:p>
    <w:p w:rsidR="006A6E00" w:rsidRPr="00767847" w:rsidRDefault="006A6E00" w:rsidP="00A260C7">
      <w:pPr>
        <w:pStyle w:val="Sinespaciado"/>
        <w:spacing w:line="240" w:lineRule="atLeast"/>
        <w:rPr>
          <w:rFonts w:cs="Arial"/>
        </w:rPr>
      </w:pPr>
      <w:r>
        <w:rPr>
          <w:rFonts w:cs="Arial"/>
        </w:rPr>
        <w:t>Representante a la Cámara</w:t>
      </w:r>
    </w:p>
    <w:sectPr w:rsidR="006A6E00" w:rsidRPr="00767847">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A44" w:rsidRDefault="00672A44">
      <w:pPr>
        <w:spacing w:after="0" w:line="240" w:lineRule="auto"/>
      </w:pPr>
      <w:r>
        <w:separator/>
      </w:r>
    </w:p>
  </w:endnote>
  <w:endnote w:type="continuationSeparator" w:id="0">
    <w:p w:rsidR="00672A44" w:rsidRDefault="0067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A44" w:rsidRDefault="00672A44">
      <w:pPr>
        <w:spacing w:after="0" w:line="240" w:lineRule="auto"/>
      </w:pPr>
      <w:r>
        <w:separator/>
      </w:r>
    </w:p>
  </w:footnote>
  <w:footnote w:type="continuationSeparator" w:id="0">
    <w:p w:rsidR="00672A44" w:rsidRDefault="00672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F3249"/>
    <w:rsid w:val="000F3F41"/>
    <w:rsid w:val="00102AC9"/>
    <w:rsid w:val="00106067"/>
    <w:rsid w:val="001303C3"/>
    <w:rsid w:val="00134E23"/>
    <w:rsid w:val="00141A7E"/>
    <w:rsid w:val="00145732"/>
    <w:rsid w:val="001826C3"/>
    <w:rsid w:val="00193E1C"/>
    <w:rsid w:val="001B1C28"/>
    <w:rsid w:val="00245986"/>
    <w:rsid w:val="002A1BAF"/>
    <w:rsid w:val="00330383"/>
    <w:rsid w:val="00332B24"/>
    <w:rsid w:val="00344B4D"/>
    <w:rsid w:val="00375224"/>
    <w:rsid w:val="003B3F8A"/>
    <w:rsid w:val="003C5D20"/>
    <w:rsid w:val="003D08DE"/>
    <w:rsid w:val="00484475"/>
    <w:rsid w:val="004B0124"/>
    <w:rsid w:val="004D631D"/>
    <w:rsid w:val="005004BD"/>
    <w:rsid w:val="00523CF6"/>
    <w:rsid w:val="00533F5F"/>
    <w:rsid w:val="00545AF9"/>
    <w:rsid w:val="0057061D"/>
    <w:rsid w:val="005970FF"/>
    <w:rsid w:val="006020FC"/>
    <w:rsid w:val="0066551C"/>
    <w:rsid w:val="00672A44"/>
    <w:rsid w:val="00676A02"/>
    <w:rsid w:val="006A6E00"/>
    <w:rsid w:val="006A6E52"/>
    <w:rsid w:val="006D531F"/>
    <w:rsid w:val="006E594C"/>
    <w:rsid w:val="00703BB5"/>
    <w:rsid w:val="00751A35"/>
    <w:rsid w:val="00767847"/>
    <w:rsid w:val="00780935"/>
    <w:rsid w:val="007D2959"/>
    <w:rsid w:val="007D3C92"/>
    <w:rsid w:val="008C5481"/>
    <w:rsid w:val="008E2412"/>
    <w:rsid w:val="008E689B"/>
    <w:rsid w:val="00900D93"/>
    <w:rsid w:val="00980D46"/>
    <w:rsid w:val="00984A08"/>
    <w:rsid w:val="009A5477"/>
    <w:rsid w:val="009E1B8B"/>
    <w:rsid w:val="009E3F42"/>
    <w:rsid w:val="00A10DC4"/>
    <w:rsid w:val="00A260C7"/>
    <w:rsid w:val="00A27D65"/>
    <w:rsid w:val="00AA5167"/>
    <w:rsid w:val="00AC09C4"/>
    <w:rsid w:val="00AF4493"/>
    <w:rsid w:val="00B31264"/>
    <w:rsid w:val="00B4204B"/>
    <w:rsid w:val="00B47081"/>
    <w:rsid w:val="00B57363"/>
    <w:rsid w:val="00BA2504"/>
    <w:rsid w:val="00BA6354"/>
    <w:rsid w:val="00BF5872"/>
    <w:rsid w:val="00BF5DE4"/>
    <w:rsid w:val="00C0783C"/>
    <w:rsid w:val="00C10A0F"/>
    <w:rsid w:val="00C24F1B"/>
    <w:rsid w:val="00C25E24"/>
    <w:rsid w:val="00D16302"/>
    <w:rsid w:val="00D410FE"/>
    <w:rsid w:val="00D65C9D"/>
    <w:rsid w:val="00DC1FF5"/>
    <w:rsid w:val="00E02D4A"/>
    <w:rsid w:val="00E2082D"/>
    <w:rsid w:val="00E27292"/>
    <w:rsid w:val="00EE498A"/>
    <w:rsid w:val="00EF5B1B"/>
    <w:rsid w:val="00F04E2C"/>
    <w:rsid w:val="00F25E2F"/>
    <w:rsid w:val="00F42CA9"/>
    <w:rsid w:val="00F50D3E"/>
    <w:rsid w:val="00F66F0B"/>
    <w:rsid w:val="00F67633"/>
    <w:rsid w:val="00F718B4"/>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BBC3BC-41C4-4897-9543-42FE803B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977</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2024-02-20T20:42:00Z</dcterms:created>
  <dcterms:modified xsi:type="dcterms:W3CDTF">2024-02-20T22:19:00Z</dcterms:modified>
</cp:coreProperties>
</file>